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
<Relationship Id="rId3" Type="http://schemas.openxmlformats.org/officeDocument/2006/relationships/extended-properties"  Target="docProps/app.xml"  />
<Relationship Id="rId2" Type="http://schemas.openxmlformats.org/package/2006/relationships/metadata/core-properties"  Target="docProps/core.xml"  />
<Relationship Id="rId1" Type="http://schemas.openxmlformats.org/officeDocument/2006/relationships/officeDocument"  Target="word/document.xml"  />
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259"/>
        <w:gridCol w:w="159"/>
        <w:gridCol w:w="1100"/>
        <w:gridCol w:w="1259"/>
        <w:gridCol w:w="4536"/>
        <w:gridCol w:w="2104"/>
        <w:gridCol w:w="1349"/>
        <w:gridCol w:w="754"/>
        <w:gridCol w:w="2104"/>
        <w:gridCol w:w="377"/>
      </w:tblGrid>
      <w:tr>
        <w:trPr>
          <w:trHeight w:hRule="exact" w:val="277.83"/>
        </w:trPr>
        <w:tc>
          <w:tcPr>
            <w:tcW w:w="15000" w:type="dxa"/>
            <w:gridSpan w:val="10"/>
            <w:tcBorders>
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left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 Zarządzenie 105/2024 z dn. 23.09.2024</w:t>
            </w:r>
          </w:p>
        </w:tc>
      </w:tr>
      <w:tr>
        <w:trPr>
          <w:trHeight w:hRule="exact" w:val="258.132"/>
        </w:trPr>
        <w:tc>
          <w:tcPr>
            <w:tcW w:w="15000" w:type="dxa"/>
            <w:gridSpan w:val="10"/>
            <w:tcBorders>
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left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> Dochody budżetowe</w:t>
            </w:r>
          </w:p>
        </w:tc>
      </w:tr>
      <w:tr>
        <w:trPr>
          <w:trHeight w:hRule="exact" w:val="277.83"/>
        </w:trPr>
        <w:tc>
          <w:tcPr>
            <w:tcW w:w="1258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 Dział</w:t>
            </w:r>
          </w:p>
        </w:tc>
        <w:tc>
          <w:tcPr>
            <w:tcW w:w="1258.8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 Rozdział</w:t>
            </w:r>
          </w:p>
        </w:tc>
        <w:tc>
          <w:tcPr>
            <w:tcW w:w="1258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 Paragraf</w:t>
            </w:r>
          </w:p>
        </w:tc>
        <w:tc>
          <w:tcPr>
            <w:tcW w:w="453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 Treść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 Przed zmianą</w:t>
            </w:r>
          </w:p>
        </w:tc>
        <w:tc>
          <w:tcPr>
            <w:tcW w:w="2103.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 Zmiana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 Po zmianie</w:t>
            </w:r>
          </w:p>
        </w:tc>
        <w:tc>
          <w:tcPr>
            <w:tcW w:w="377" w:type="dxa"/>
          </w:tcPr>
          <w:p/>
        </w:tc>
      </w:tr>
      <w:tr>
        <w:trPr>
          <w:trHeight w:hRule="exact" w:val="244.9019"/>
        </w:trPr>
        <w:tc>
          <w:tcPr>
            <w:tcW w:w="1258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A9A9A9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 752</w:t>
            </w:r>
          </w:p>
        </w:tc>
        <w:tc>
          <w:tcPr>
            <w:tcW w:w="1258.8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A9A9A9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tcBorders>
              <w:top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A9A9A9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453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A9A9A9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 Obrona narodowa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A9A9A9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 200,00</w:t>
            </w:r>
          </w:p>
        </w:tc>
        <w:tc>
          <w:tcPr>
            <w:tcW w:w="2103.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A9A9A9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 -200,00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A9A9A9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 0,00</w:t>
            </w:r>
          </w:p>
        </w:tc>
        <w:tc>
          <w:tcPr>
            <w:tcW w:w="377" w:type="dxa"/>
          </w:tcPr>
          <w:p/>
        </w:tc>
      </w:tr>
      <w:tr>
        <w:trPr>
          <w:trHeight w:hRule="exact" w:val="244.9021"/>
        </w:trPr>
        <w:tc>
          <w:tcPr>
            <w:tcW w:w="1258.8" w:type="dxa"/>
            <w:tcBorders>
              <w:lef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75212</w:t>
            </w:r>
          </w:p>
        </w:tc>
        <w:tc>
          <w:tcPr>
            <w:tcW w:w="1258.8" w:type="dxa"/>
            <w:tcBorders>
              <w:top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453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Pozostałe wydatki obronne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200,00</w:t>
            </w:r>
          </w:p>
        </w:tc>
        <w:tc>
          <w:tcPr>
            <w:tcW w:w="2103.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-200,00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0,00</w:t>
            </w:r>
          </w:p>
        </w:tc>
        <w:tc>
          <w:tcPr>
            <w:tcW w:w="377" w:type="dxa"/>
          </w:tcPr>
          <w:p/>
        </w:tc>
      </w:tr>
      <w:tr>
        <w:trPr>
          <w:trHeight w:hRule="exact" w:val="808.059"/>
        </w:trPr>
        <w:tc>
          <w:tcPr>
            <w:tcW w:w="1258.8" w:type="dxa"/>
            <w:tcBorders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gridSpan w:val="2"/>
            <w:tcBorders>
              <w:top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2010</w:t>
            </w:r>
          </w:p>
        </w:tc>
        <w:tc>
          <w:tcPr>
            <w:tcW w:w="453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200,00</w:t>
            </w:r>
          </w:p>
        </w:tc>
        <w:tc>
          <w:tcPr>
            <w:tcW w:w="2103.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-200,00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0,00</w:t>
            </w:r>
          </w:p>
        </w:tc>
        <w:tc>
          <w:tcPr>
            <w:tcW w:w="377" w:type="dxa"/>
          </w:tcPr>
          <w:p/>
        </w:tc>
      </w:tr>
      <w:tr>
        <w:trPr>
          <w:trHeight w:hRule="exact" w:val="244.9021"/>
        </w:trPr>
        <w:tc>
          <w:tcPr>
            <w:tcW w:w="1258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A9A9A9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 852</w:t>
            </w:r>
          </w:p>
        </w:tc>
        <w:tc>
          <w:tcPr>
            <w:tcW w:w="1258.8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A9A9A9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tcBorders>
              <w:top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A9A9A9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453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A9A9A9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 Pomoc społeczna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A9A9A9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 797 254,83</w:t>
            </w:r>
          </w:p>
        </w:tc>
        <w:tc>
          <w:tcPr>
            <w:tcW w:w="2103.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A9A9A9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 1 125 000,00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A9A9A9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 1 922 254,83</w:t>
            </w:r>
          </w:p>
        </w:tc>
        <w:tc>
          <w:tcPr>
            <w:tcW w:w="377" w:type="dxa"/>
          </w:tcPr>
          <w:p/>
        </w:tc>
      </w:tr>
      <w:tr>
        <w:trPr>
          <w:trHeight w:hRule="exact" w:val="244.9021"/>
        </w:trPr>
        <w:tc>
          <w:tcPr>
            <w:tcW w:w="1258.8" w:type="dxa"/>
            <w:tcBorders>
              <w:lef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85216</w:t>
            </w:r>
          </w:p>
        </w:tc>
        <w:tc>
          <w:tcPr>
            <w:tcW w:w="1258.8" w:type="dxa"/>
            <w:tcBorders>
              <w:top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453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Zasiłki stałe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214 000,00</w:t>
            </w:r>
          </w:p>
        </w:tc>
        <w:tc>
          <w:tcPr>
            <w:tcW w:w="2103.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-5 000,00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209 000,00</w:t>
            </w:r>
          </w:p>
        </w:tc>
        <w:tc>
          <w:tcPr>
            <w:tcW w:w="377" w:type="dxa"/>
          </w:tcPr>
          <w:p/>
        </w:tc>
      </w:tr>
      <w:tr>
        <w:trPr>
          <w:trHeight w:hRule="exact" w:val="622.1041"/>
        </w:trPr>
        <w:tc>
          <w:tcPr>
            <w:tcW w:w="1258.8" w:type="dxa"/>
            <w:tcBorders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gridSpan w:val="2"/>
            <w:tcBorders>
              <w:top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2030</w:t>
            </w:r>
          </w:p>
        </w:tc>
        <w:tc>
          <w:tcPr>
            <w:tcW w:w="453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Dotacja celowa otrzymana z budżetu państwa na realizację własnych zadań bieżących gmin (związków gmin, związków powiatowo-gminnych)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214 000,00</w:t>
            </w:r>
          </w:p>
        </w:tc>
        <w:tc>
          <w:tcPr>
            <w:tcW w:w="2103.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-5 000,00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209 000,00</w:t>
            </w:r>
          </w:p>
        </w:tc>
        <w:tc>
          <w:tcPr>
            <w:tcW w:w="377" w:type="dxa"/>
          </w:tcPr>
          <w:p/>
        </w:tc>
      </w:tr>
      <w:tr>
        <w:trPr>
          <w:trHeight w:hRule="exact" w:val="244.9016"/>
        </w:trPr>
        <w:tc>
          <w:tcPr>
            <w:tcW w:w="1258.8" w:type="dxa"/>
            <w:tcBorders>
              <w:lef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85278</w:t>
            </w:r>
          </w:p>
        </w:tc>
        <w:tc>
          <w:tcPr>
            <w:tcW w:w="1258.8" w:type="dxa"/>
            <w:tcBorders>
              <w:top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453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Usuwanie skutków klęsk żywiołowych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0,00</w:t>
            </w:r>
          </w:p>
        </w:tc>
        <w:tc>
          <w:tcPr>
            <w:tcW w:w="2103.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1 130 000,00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1 130 000,00</w:t>
            </w:r>
          </w:p>
        </w:tc>
        <w:tc>
          <w:tcPr>
            <w:tcW w:w="377" w:type="dxa"/>
          </w:tcPr>
          <w:p/>
        </w:tc>
      </w:tr>
      <w:tr>
        <w:trPr>
          <w:trHeight w:hRule="exact" w:val="808.059"/>
        </w:trPr>
        <w:tc>
          <w:tcPr>
            <w:tcW w:w="1258.8" w:type="dxa"/>
            <w:tcBorders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gridSpan w:val="2"/>
            <w:tcBorders>
              <w:top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2010</w:t>
            </w:r>
          </w:p>
        </w:tc>
        <w:tc>
          <w:tcPr>
            <w:tcW w:w="453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0,00</w:t>
            </w:r>
          </w:p>
        </w:tc>
        <w:tc>
          <w:tcPr>
            <w:tcW w:w="2103.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1 130 000,00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1 130 000,00</w:t>
            </w:r>
          </w:p>
        </w:tc>
        <w:tc>
          <w:tcPr>
            <w:tcW w:w="377" w:type="dxa"/>
          </w:tcPr>
          <w:p/>
        </w:tc>
      </w:tr>
      <w:tr>
        <w:trPr>
          <w:trHeight w:hRule="exact" w:val="244.9021"/>
        </w:trPr>
        <w:tc>
          <w:tcPr>
            <w:tcW w:w="1258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A9A9A9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 854</w:t>
            </w:r>
          </w:p>
        </w:tc>
        <w:tc>
          <w:tcPr>
            <w:tcW w:w="1258.8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A9A9A9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tcBorders>
              <w:top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A9A9A9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453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A9A9A9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 Edukacyjna opieka wychowawcza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A9A9A9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 20 000,00</w:t>
            </w:r>
          </w:p>
        </w:tc>
        <w:tc>
          <w:tcPr>
            <w:tcW w:w="2103.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A9A9A9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 18 000,00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A9A9A9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 38 000,00</w:t>
            </w:r>
          </w:p>
        </w:tc>
        <w:tc>
          <w:tcPr>
            <w:tcW w:w="377" w:type="dxa"/>
          </w:tcPr>
          <w:p/>
        </w:tc>
      </w:tr>
      <w:tr>
        <w:trPr>
          <w:trHeight w:hRule="exact" w:val="244.9021"/>
        </w:trPr>
        <w:tc>
          <w:tcPr>
            <w:tcW w:w="1258.8" w:type="dxa"/>
            <w:tcBorders>
              <w:lef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85415</w:t>
            </w:r>
          </w:p>
        </w:tc>
        <w:tc>
          <w:tcPr>
            <w:tcW w:w="1258.8" w:type="dxa"/>
            <w:tcBorders>
              <w:top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453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Pomoc materialna dla uczniów o charakterze socjalnym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20 000,00</w:t>
            </w:r>
          </w:p>
        </w:tc>
        <w:tc>
          <w:tcPr>
            <w:tcW w:w="2103.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18 000,00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38 000,00</w:t>
            </w:r>
          </w:p>
        </w:tc>
        <w:tc>
          <w:tcPr>
            <w:tcW w:w="377" w:type="dxa"/>
          </w:tcPr>
          <w:p/>
        </w:tc>
      </w:tr>
      <w:tr>
        <w:trPr>
          <w:trHeight w:hRule="exact" w:val="622.1041"/>
        </w:trPr>
        <w:tc>
          <w:tcPr>
            <w:tcW w:w="1258.8" w:type="dxa"/>
            <w:tcBorders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gridSpan w:val="2"/>
            <w:tcBorders>
              <w:top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2030</w:t>
            </w:r>
          </w:p>
        </w:tc>
        <w:tc>
          <w:tcPr>
            <w:tcW w:w="453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Dotacja celowa otrzymana z budżetu państwa na realizację własnych zadań bieżących gmin (związków gmin, związków powiatowo-gminnych)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20 000,00</w:t>
            </w:r>
          </w:p>
        </w:tc>
        <w:tc>
          <w:tcPr>
            <w:tcW w:w="2103.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18 000,00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38 000,00</w:t>
            </w:r>
          </w:p>
        </w:tc>
        <w:tc>
          <w:tcPr>
            <w:tcW w:w="377" w:type="dxa"/>
          </w:tcPr>
          <w:p/>
        </w:tc>
      </w:tr>
      <w:tr>
        <w:trPr>
          <w:trHeight w:hRule="exact" w:val="277.8299"/>
        </w:trPr>
        <w:tc>
          <w:tcPr>
            <w:tcW w:w="1259" w:type="dxa"/>
          </w:tcPr>
          <w:p/>
        </w:tc>
        <w:tc>
          <w:tcPr>
            <w:tcW w:w="159" w:type="dxa"/>
          </w:tcPr>
          <w:p/>
        </w:tc>
        <w:tc>
          <w:tcPr>
            <w:tcW w:w="1100" w:type="dxa"/>
          </w:tcPr>
          <w:p/>
        </w:tc>
        <w:tc>
          <w:tcPr>
            <w:tcW w:w="1259" w:type="dxa"/>
          </w:tcPr>
          <w:p/>
        </w:tc>
        <w:tc>
          <w:tcPr>
            <w:tcW w:w="4536" w:type="dxa"/>
          </w:tcPr>
          <w:p/>
        </w:tc>
        <w:tc>
          <w:tcPr>
            <w:tcW w:w="2104" w:type="dxa"/>
          </w:tcPr>
          <w:p/>
        </w:tc>
        <w:tc>
          <w:tcPr>
            <w:tcW w:w="1349" w:type="dxa"/>
          </w:tcPr>
          <w:p/>
        </w:tc>
        <w:tc>
          <w:tcPr>
            <w:tcW w:w="754" w:type="dxa"/>
          </w:tcPr>
          <w:p/>
        </w:tc>
        <w:tc>
          <w:tcPr>
            <w:tcW w:w="2104" w:type="dxa"/>
          </w:tcPr>
          <w:p/>
        </w:tc>
        <w:tc>
          <w:tcPr>
            <w:tcW w:w="377" w:type="dxa"/>
          </w:tcPr>
          <w:p/>
        </w:tc>
      </w:tr>
      <w:tr>
        <w:trPr>
          <w:trHeight w:hRule="exact" w:val="277.8299"/>
        </w:trPr>
        <w:tc>
          <w:tcPr>
            <w:tcW w:w="8312.399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 Razem: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33 003 423,67</w:t>
            </w:r>
          </w:p>
        </w:tc>
        <w:tc>
          <w:tcPr>
            <w:tcW w:w="2103.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1 142 800,00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34 146 223,67</w:t>
            </w:r>
          </w:p>
        </w:tc>
        <w:tc>
          <w:tcPr>
            <w:tcW w:w="377" w:type="dxa"/>
          </w:tcPr>
          <w:p/>
        </w:tc>
      </w:tr>
      <w:tr>
        <w:trPr>
          <w:trHeight w:hRule="exact" w:val="3502.128"/>
        </w:trPr>
        <w:tc>
          <w:tcPr>
            <w:tcW w:w="1259" w:type="dxa"/>
          </w:tcPr>
          <w:p/>
        </w:tc>
        <w:tc>
          <w:tcPr>
            <w:tcW w:w="159" w:type="dxa"/>
          </w:tcPr>
          <w:p/>
        </w:tc>
        <w:tc>
          <w:tcPr>
            <w:tcW w:w="1100" w:type="dxa"/>
          </w:tcPr>
          <w:p/>
        </w:tc>
        <w:tc>
          <w:tcPr>
            <w:tcW w:w="1259" w:type="dxa"/>
          </w:tcPr>
          <w:p/>
        </w:tc>
        <w:tc>
          <w:tcPr>
            <w:tcW w:w="4536" w:type="dxa"/>
          </w:tcPr>
          <w:p/>
        </w:tc>
        <w:tc>
          <w:tcPr>
            <w:tcW w:w="2104" w:type="dxa"/>
          </w:tcPr>
          <w:p/>
        </w:tc>
        <w:tc>
          <w:tcPr>
            <w:tcW w:w="1349" w:type="dxa"/>
          </w:tcPr>
          <w:p/>
        </w:tc>
        <w:tc>
          <w:tcPr>
            <w:tcW w:w="754" w:type="dxa"/>
          </w:tcPr>
          <w:p/>
        </w:tc>
        <w:tc>
          <w:tcPr>
            <w:tcW w:w="2104" w:type="dxa"/>
          </w:tcPr>
          <w:p/>
        </w:tc>
        <w:tc>
          <w:tcPr>
            <w:tcW w:w="377" w:type="dxa"/>
          </w:tcPr>
          <w:p/>
        </w:tc>
      </w:tr>
      <w:tr>
        <w:trPr>
          <w:trHeight w:hRule="exact" w:val="277.8304"/>
        </w:trPr>
        <w:tc>
          <w:tcPr>
            <w:tcW w:w="1417.5" w:type="dxa"/>
            <w:gridSpan w:val="2"/>
            <w:tcBorders>
</w:tcBorders>
            <w:shd w:val="clear" w:color="#000000" w:fill="#FFFFFF"/>
            <w:vAlign w:val="top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left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> BeSTia</w:t>
            </w:r>
          </w:p>
        </w:tc>
        <w:tc>
          <w:tcPr>
            <w:tcW w:w="1100" w:type="dxa"/>
          </w:tcPr>
          <w:p/>
        </w:tc>
        <w:tc>
          <w:tcPr>
            <w:tcW w:w="1259" w:type="dxa"/>
          </w:tcPr>
          <w:p/>
        </w:tc>
        <w:tc>
          <w:tcPr>
            <w:tcW w:w="4536" w:type="dxa"/>
          </w:tcPr>
          <w:p/>
        </w:tc>
        <w:tc>
          <w:tcPr>
            <w:tcW w:w="2104" w:type="dxa"/>
          </w:tcPr>
          <w:p/>
        </w:tc>
        <w:tc>
          <w:tcPr>
            <w:tcW w:w="1349" w:type="dxa"/>
          </w:tcPr>
          <w:p/>
        </w:tc>
        <w:tc>
          <w:tcPr>
            <w:tcW w:w="2976.75" w:type="dxa"/>
            <w:gridSpan w:val="2"/>
            <w:tcBorders>
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right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> Strona 1 z 1</w:t>
            </w:r>
          </w:p>
        </w:tc>
        <w:tc>
          <w:tcPr>
            <w:tcW w:w="377" w:type="dxa"/>
          </w:tcPr>
          <w:p/>
        </w:tc>
      </w:tr>
    </w:tbl>
    <w:p/>
    <w:sectPr>
      <w:pgSz w:w="16840" w:h="11907"/>
      <w:pgMar w:top="567" w:right="567" w:bottom="540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31453"/>
    <w:rsid w:val="0002418B"/>
    <w:rsid w:val="001F0BC7"/>
    <w:rsid w:val="00D31453"/>
    <w:rsid w:val="00E20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_rels/document.xml.rels><?xml version="1.0" encoding="UTF-8" standalone="yes"?>
<Relationships xmlns="http://schemas.openxmlformats.org/package/2006/relationships">
<Relationship Id="rId1" Type="http://schemas.openxmlformats.org/officeDocument/2006/relationships/settings" Target="settings.xml" />
<Relationship Id="rId2" Type="http://schemas.openxmlformats.org/officeDocument/2006/relationships/styles" Target="styles.xml" />
<Relationship Id="rId3" Type="http://schemas.openxmlformats.org/officeDocument/2006/relationships/fontTable" Target="fontTable.xml" />
</Relationships>

</file>

<file path=docProps/app.xml><?xml version="1.0" encoding="utf-8"?>
<Properties xmlns="http://schemas.openxmlformats.org/officeDocument/2006/extended-properties" xmlns:vt="http://schemas.openxmlformats.org/officeDocument/2006/docPropsVTypes">
  <DocSecurity>0</DocSecurity>
  <ScaleCrop>false</ScaleCrop>
  <HeadingPairs>
    <vt:vector size="2" baseType="variant">
      <vt:variant>
        <vt:lpstr>Worksheets</vt:lpstr>
      </vt:variant>
      <vt:variant>
        <vt:i4>2</vt:i4>
      </vt:variant>
    </vt:vector>
  </HeadingPairs>
  <TitlesOfParts>
    <vt:vector size="1" baseType="lpstr">
      <vt:lpstr>Лист1</vt:lpstr>
    </vt:vector>
  </TitlesOfParts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2009-06-17T07:33:19Z</dcterms:created>
  <dc:title>Dochody_szczegoly</dc:title>
  <dc:creator>FastReport.NET</dc:creator>
</cp:coreProperties>
</file>